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C9CC" w14:textId="750B16C2" w:rsidR="008D75E8" w:rsidRDefault="008D75E8">
      <w:r w:rsidRPr="00A12FC8">
        <w:rPr>
          <w:noProof/>
        </w:rPr>
        <w:drawing>
          <wp:inline distT="0" distB="0" distL="0" distR="0" wp14:anchorId="45750D28" wp14:editId="19D25E2B">
            <wp:extent cx="5612130" cy="383540"/>
            <wp:effectExtent l="0" t="0" r="7620" b="0"/>
            <wp:docPr id="13519218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50087" w14:textId="77777777" w:rsidR="008D75E8" w:rsidRDefault="008D75E8"/>
    <w:p w14:paraId="2E7C63BD" w14:textId="77777777" w:rsidR="008D75E8" w:rsidRDefault="008D75E8"/>
    <w:p w14:paraId="6B7C9690" w14:textId="77777777" w:rsidR="00215138" w:rsidRDefault="00215138" w:rsidP="008D75E8">
      <w:pPr>
        <w:jc w:val="center"/>
        <w:rPr>
          <w:rFonts w:ascii="Calibri" w:hAnsi="Calibri" w:cs="Calibri"/>
          <w:b/>
          <w:bCs/>
        </w:rPr>
      </w:pPr>
    </w:p>
    <w:p w14:paraId="16D5F675" w14:textId="77777777" w:rsidR="00215138" w:rsidRDefault="00215138" w:rsidP="008D75E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NOTA INFORMATIVA</w:t>
      </w:r>
    </w:p>
    <w:p w14:paraId="16015D53" w14:textId="5291DF46" w:rsidR="00B81F6E" w:rsidRPr="008D75E8" w:rsidRDefault="008D75E8" w:rsidP="008D75E8">
      <w:pPr>
        <w:jc w:val="center"/>
        <w:rPr>
          <w:rFonts w:ascii="Calibri" w:hAnsi="Calibri" w:cs="Calibri"/>
          <w:b/>
          <w:bCs/>
        </w:rPr>
      </w:pPr>
      <w:r w:rsidRPr="008D75E8">
        <w:rPr>
          <w:rFonts w:ascii="Calibri" w:hAnsi="Calibri" w:cs="Calibri"/>
          <w:b/>
          <w:bCs/>
        </w:rPr>
        <w:t>IMT Jovem - Compensação | Contabilização das receitas com natureza de transferência corrente a partir de 01</w:t>
      </w:r>
      <w:r w:rsidR="00215138">
        <w:rPr>
          <w:rFonts w:ascii="Calibri" w:hAnsi="Calibri" w:cs="Calibri"/>
          <w:b/>
          <w:bCs/>
        </w:rPr>
        <w:t>-</w:t>
      </w:r>
      <w:r w:rsidRPr="008D75E8">
        <w:rPr>
          <w:rFonts w:ascii="Calibri" w:hAnsi="Calibri" w:cs="Calibri"/>
          <w:b/>
          <w:bCs/>
        </w:rPr>
        <w:t>01</w:t>
      </w:r>
      <w:r w:rsidR="00215138">
        <w:rPr>
          <w:rFonts w:ascii="Calibri" w:hAnsi="Calibri" w:cs="Calibri"/>
          <w:b/>
          <w:bCs/>
        </w:rPr>
        <w:t>-</w:t>
      </w:r>
      <w:r w:rsidRPr="008D75E8">
        <w:rPr>
          <w:rFonts w:ascii="Calibri" w:hAnsi="Calibri" w:cs="Calibri"/>
          <w:b/>
          <w:bCs/>
        </w:rPr>
        <w:t>2026</w:t>
      </w:r>
    </w:p>
    <w:p w14:paraId="001A8F80" w14:textId="77777777" w:rsidR="008D75E8" w:rsidRDefault="008D75E8" w:rsidP="008D75E8">
      <w:pPr>
        <w:jc w:val="center"/>
        <w:rPr>
          <w:b/>
          <w:bCs/>
        </w:rPr>
      </w:pPr>
    </w:p>
    <w:p w14:paraId="114CDB80" w14:textId="77777777" w:rsidR="008D75E8" w:rsidRDefault="008D75E8" w:rsidP="008D75E8">
      <w:pPr>
        <w:jc w:val="center"/>
        <w:rPr>
          <w:b/>
          <w:bCs/>
        </w:rPr>
      </w:pPr>
    </w:p>
    <w:p w14:paraId="268F4857" w14:textId="17BCAEEF" w:rsidR="008D75E8" w:rsidRPr="008D75E8" w:rsidRDefault="008D75E8" w:rsidP="008D75E8">
      <w:pPr>
        <w:spacing w:after="0" w:line="240" w:lineRule="auto"/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</w:pPr>
      <w:r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 xml:space="preserve">Segundo </w:t>
      </w:r>
      <w:r w:rsidR="00D84490"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 xml:space="preserve">nota </w:t>
      </w:r>
      <w:r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>informa</w:t>
      </w:r>
      <w:r w:rsidR="00D84490"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>tiva</w:t>
      </w:r>
      <w:r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 xml:space="preserve"> emitida pela </w:t>
      </w:r>
      <w:r w:rsidR="00D84490" w:rsidRPr="008D75E8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>Direção-Geral</w:t>
      </w:r>
      <w:r w:rsidR="00D84490"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 xml:space="preserve"> das Autarquias Locais (</w:t>
      </w:r>
      <w:r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>DGAL</w:t>
      </w:r>
      <w:r w:rsidR="00D84490"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>)</w:t>
      </w:r>
      <w:r w:rsidRPr="00D84490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>:</w:t>
      </w:r>
    </w:p>
    <w:p w14:paraId="61D70333" w14:textId="77777777" w:rsidR="008D75E8" w:rsidRPr="008D75E8" w:rsidRDefault="008D75E8" w:rsidP="008D75E8">
      <w:pPr>
        <w:spacing w:before="240" w:after="240" w:line="340" w:lineRule="atLeast"/>
        <w:jc w:val="both"/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</w:pP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A publicação do Decreto-Lei n.º 48-A/2024, de 25 de julho, veio estabelecer uma isenção de imposto municipal sobre as transmissões onerosas de imóveis e de imposto do selo para a primeira aquisição de imóvel, destinado exclusivamente a habitação própria e permanente, por sujeitos passivos que tenham até 35 anos de idade.</w:t>
      </w:r>
    </w:p>
    <w:p w14:paraId="10A2B451" w14:textId="3D77EF66" w:rsidR="008D75E8" w:rsidRPr="008D75E8" w:rsidRDefault="00D84490" w:rsidP="008D75E8">
      <w:pPr>
        <w:spacing w:before="240" w:after="240" w:line="340" w:lineRule="atLeast"/>
        <w:jc w:val="both"/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</w:pPr>
      <w:r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Aquele</w:t>
      </w:r>
      <w:r w:rsidR="008D75E8"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Decreto-Lei estabelece</w:t>
      </w:r>
      <w:r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também</w:t>
      </w:r>
      <w:r w:rsidR="008D75E8"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um mecanismo de compensação aos municípios pelas receitas cessantes</w:t>
      </w:r>
      <w:r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,</w:t>
      </w:r>
      <w:r w:rsidR="008D75E8"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em resultado da aplicação da</w:t>
      </w:r>
      <w:r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quela</w:t>
      </w:r>
      <w:r w:rsidR="008D75E8"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isenção de IMT, definindo no artigo n.º 4 a “Compensação aos municípios”.</w:t>
      </w:r>
    </w:p>
    <w:p w14:paraId="4CEC3369" w14:textId="3D6DA0F4" w:rsidR="008D75E8" w:rsidRPr="008D75E8" w:rsidRDefault="008D75E8" w:rsidP="008D75E8">
      <w:pPr>
        <w:spacing w:before="240" w:after="240" w:line="340" w:lineRule="atLeast"/>
        <w:jc w:val="both"/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</w:pP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Os municípios recebem a compensação pelas receitas cessantes, mensalmente, através de transferência realizada </w:t>
      </w:r>
      <w:r w:rsidR="00D84490"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pela</w:t>
      </w: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</w:t>
      </w:r>
      <w:r w:rsidR="00D84490"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DGAL</w:t>
      </w: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, nos termos e após comunicação dos valores a considerar pela Autoridade Tributária, sendo que, de acordo com </w:t>
      </w:r>
      <w:hyperlink r:id="rId5" w:history="1">
        <w:r w:rsidRPr="008D75E8">
          <w:rPr>
            <w:rStyle w:val="Hiperligao"/>
            <w:rFonts w:ascii="Calibri Light" w:eastAsia="Aptos" w:hAnsi="Calibri Light" w:cs="Calibri Light"/>
            <w:color w:val="auto"/>
            <w:kern w:val="0"/>
            <w:position w:val="-4"/>
            <w:sz w:val="22"/>
            <w:szCs w:val="22"/>
            <w:lang w:val="pt-PT"/>
            <w14:ligatures w14:val="none"/>
          </w:rPr>
          <w:t>Nota Informativa elaborada no âmbito do grupo SATAPOCAL em outubro de 2024</w:t>
        </w:r>
      </w:hyperlink>
      <w:r w:rsidR="00D84490"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,</w:t>
      </w:r>
      <w:r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</w:t>
      </w: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a contabilização das receitas deveria ser realizada através da classificação ‘01.02.04.02.00 - Imposto municipal sobre as transações onerosas de imóveis - Compensação DL 48</w:t>
      </w: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noBreakHyphen/>
        <w:t>A/2024’.</w:t>
      </w:r>
    </w:p>
    <w:p w14:paraId="1C7D0E86" w14:textId="2308F00E" w:rsidR="008D75E8" w:rsidRPr="008D75E8" w:rsidRDefault="008D75E8" w:rsidP="008D75E8">
      <w:pPr>
        <w:spacing w:before="240" w:after="240" w:line="340" w:lineRule="atLeast"/>
        <w:jc w:val="both"/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</w:pPr>
      <w:r w:rsidRPr="008D75E8"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  <w:t xml:space="preserve">No entanto, </w:t>
      </w:r>
      <w:r w:rsidR="00D84490" w:rsidRPr="00D84490"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  <w:t xml:space="preserve">e segundo orientação da DGAL, </w:t>
      </w:r>
      <w:r w:rsidRPr="008D75E8"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  <w:t>para efeitos de apuramento de saldos das contas das Administrações Públicas e Administração Local, foi deliberado que as receitas em apreço devem assumir a natureza de transferência corrente, pelo que, a partir de 01</w:t>
      </w:r>
      <w:r w:rsidR="00D84490" w:rsidRPr="00D84490"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  <w:t>-</w:t>
      </w:r>
      <w:r w:rsidRPr="008D75E8"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  <w:t>01</w:t>
      </w:r>
      <w:r w:rsidR="00D84490" w:rsidRPr="00D84490"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  <w:t>-</w:t>
      </w:r>
      <w:r w:rsidRPr="008D75E8">
        <w:rPr>
          <w:rFonts w:ascii="Calibri Light" w:eastAsia="Aptos" w:hAnsi="Calibri Light" w:cs="Calibri Light"/>
          <w:b/>
          <w:bCs/>
          <w:kern w:val="0"/>
          <w:position w:val="-4"/>
          <w:sz w:val="22"/>
          <w:szCs w:val="22"/>
          <w:lang w:val="pt-PT"/>
          <w14:ligatures w14:val="none"/>
        </w:rPr>
        <w:t>2026 as mesmas devem ser contabilizadas através da classificação ‘0603010900 - IMT Jovem – Compensação DL 48-A/2024’.</w:t>
      </w:r>
    </w:p>
    <w:p w14:paraId="04A2FA2F" w14:textId="77777777" w:rsidR="008D75E8" w:rsidRPr="008D75E8" w:rsidRDefault="008D75E8" w:rsidP="008D75E8">
      <w:pPr>
        <w:spacing w:before="240" w:after="240" w:line="340" w:lineRule="atLeast"/>
        <w:jc w:val="both"/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</w:pPr>
      <w:r w:rsidRPr="008D75E8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 xml:space="preserve">Serão, ainda, criadas no SISAL a </w:t>
      </w:r>
      <w:r w:rsidRPr="008D75E8">
        <w:rPr>
          <w:rFonts w:ascii="Calibri Light" w:eastAsia="Aptos" w:hAnsi="Calibri Light" w:cs="Calibri Light"/>
          <w:b/>
          <w:bCs/>
          <w:kern w:val="0"/>
          <w:sz w:val="22"/>
          <w:szCs w:val="22"/>
          <w:lang w:val="pt-PT"/>
          <w14:ligatures w14:val="none"/>
        </w:rPr>
        <w:t>conta de terceiros ‘20.1.1.4 - IMT Jovem – Compensação DL 48-A/2024’</w:t>
      </w:r>
      <w:r w:rsidRPr="008D75E8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 xml:space="preserve"> e a </w:t>
      </w:r>
      <w:r w:rsidRPr="008D75E8">
        <w:rPr>
          <w:rFonts w:ascii="Calibri Light" w:eastAsia="Aptos" w:hAnsi="Calibri Light" w:cs="Calibri Light"/>
          <w:b/>
          <w:bCs/>
          <w:kern w:val="0"/>
          <w:sz w:val="22"/>
          <w:szCs w:val="22"/>
          <w:lang w:val="pt-PT"/>
          <w14:ligatures w14:val="none"/>
        </w:rPr>
        <w:t>conta de rendimentos</w:t>
      </w:r>
      <w:r w:rsidRPr="008D75E8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 xml:space="preserve"> ‘</w:t>
      </w:r>
      <w:r w:rsidRPr="008D75E8">
        <w:rPr>
          <w:rFonts w:ascii="Calibri Light" w:eastAsia="Aptos" w:hAnsi="Calibri Light" w:cs="Calibri Light"/>
          <w:b/>
          <w:bCs/>
          <w:kern w:val="0"/>
          <w:sz w:val="22"/>
          <w:szCs w:val="22"/>
          <w:lang w:val="pt-PT"/>
          <w14:ligatures w14:val="none"/>
        </w:rPr>
        <w:t>75.1.1.1.11 - IMT Jovem – Compensação DL 48-A/2024’</w:t>
      </w:r>
      <w:r w:rsidRPr="008D75E8">
        <w:rPr>
          <w:rFonts w:ascii="Calibri Light" w:eastAsia="Aptos" w:hAnsi="Calibri Light" w:cs="Calibri Light"/>
          <w:kern w:val="0"/>
          <w:sz w:val="22"/>
          <w:szCs w:val="22"/>
          <w:lang w:val="pt-PT"/>
          <w14:ligatures w14:val="none"/>
        </w:rPr>
        <w:t>.</w:t>
      </w:r>
    </w:p>
    <w:p w14:paraId="7B6485D5" w14:textId="446B425D" w:rsidR="008D75E8" w:rsidRPr="008D75E8" w:rsidRDefault="008D75E8" w:rsidP="008D75E8">
      <w:pPr>
        <w:spacing w:before="240" w:after="240" w:line="340" w:lineRule="atLeast"/>
        <w:jc w:val="both"/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</w:pP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lastRenderedPageBreak/>
        <w:t xml:space="preserve">Por fim, </w:t>
      </w:r>
      <w:r w:rsidR="00D84490"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a DGAL informa também</w:t>
      </w: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 xml:space="preserve"> que, em conformidade com os procedimentos adotados anteriormente para situações </w:t>
      </w:r>
      <w:r w:rsidR="00D84490"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semelhantes</w:t>
      </w:r>
      <w:r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, caso não seja possível aplicar o disposto no ponto 3.3. das Regras Previsionais do POCAL (em vigor, de acordo com o artigo 17.º do SNC-AP), entende-se que a autarquia pode, excecionalmente, recorrer a uma alteração orçamental para o ano de 2026 para inscrever a nova classificação económica da receita, dando conhecimento ao órgão deliberativo na reunião seguinte.</w:t>
      </w:r>
    </w:p>
    <w:p w14:paraId="5A6F3563" w14:textId="4A12F332" w:rsidR="008D75E8" w:rsidRPr="008D75E8" w:rsidRDefault="00D84490" w:rsidP="008D75E8">
      <w:pPr>
        <w:spacing w:before="240" w:after="240" w:line="340" w:lineRule="atLeast"/>
        <w:jc w:val="both"/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</w:pPr>
      <w:r w:rsidRPr="00D84490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C</w:t>
      </w:r>
      <w:r w:rsidR="008D75E8" w:rsidRPr="008D75E8">
        <w:rPr>
          <w:rFonts w:ascii="Calibri Light" w:eastAsia="Aptos" w:hAnsi="Calibri Light" w:cs="Calibri Light"/>
          <w:kern w:val="0"/>
          <w:position w:val="-4"/>
          <w:sz w:val="22"/>
          <w:szCs w:val="22"/>
          <w:lang w:val="pt-PT"/>
          <w14:ligatures w14:val="none"/>
        </w:rPr>
        <w:t>aso a autarquia pretenda efetuar um aumento global da despesa, alerta-se para a necessidade de proceder a uma revisão do seu orçamento, a aprovar pela assembleia municipal, nos termos legalmente previstos.</w:t>
      </w:r>
    </w:p>
    <w:p w14:paraId="68308C29" w14:textId="77777777" w:rsidR="008D75E8" w:rsidRPr="00D84490" w:rsidRDefault="008D75E8" w:rsidP="008D75E8">
      <w:pPr>
        <w:jc w:val="both"/>
        <w:rPr>
          <w:b/>
          <w:bCs/>
        </w:rPr>
      </w:pPr>
    </w:p>
    <w:sectPr w:rsidR="008D75E8" w:rsidRPr="00D844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E8"/>
    <w:rsid w:val="00215138"/>
    <w:rsid w:val="00315278"/>
    <w:rsid w:val="005C573D"/>
    <w:rsid w:val="00870933"/>
    <w:rsid w:val="008D75E8"/>
    <w:rsid w:val="00B81F6E"/>
    <w:rsid w:val="00D84490"/>
    <w:rsid w:val="00F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0A6B"/>
  <w15:chartTrackingRefBased/>
  <w15:docId w15:val="{3A8A723A-BF19-4F50-B0A2-E870DE42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D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D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D7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D7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D7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D7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D7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D7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D7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D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D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D7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D75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D75E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D75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D75E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D75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D75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D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D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D7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D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D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D75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5E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D75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D7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D75E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D75E8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D75E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D75E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844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cdr-lvt.pt/wp-content/uploads/2024/12/NotaInf_compensacao_IMT_jovem_classif_orcamental_VF.pdf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Pires Rosa</dc:creator>
  <cp:keywords/>
  <dc:description/>
  <cp:lastModifiedBy>Margarida Capela Cucharra</cp:lastModifiedBy>
  <cp:revision>2</cp:revision>
  <dcterms:created xsi:type="dcterms:W3CDTF">2025-11-28T11:46:00Z</dcterms:created>
  <dcterms:modified xsi:type="dcterms:W3CDTF">2025-11-28T11:46:00Z</dcterms:modified>
</cp:coreProperties>
</file>